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D" w:rsidRDefault="0072571D" w:rsidP="0072571D">
      <w:pPr>
        <w:pStyle w:val="a3"/>
      </w:pPr>
      <w:r>
        <w:t xml:space="preserve">Ответственность за доведение до самоубийства предусмотрена </w:t>
      </w:r>
      <w:hyperlink r:id="rId4" w:tgtFrame="_blank" w:tooltip="" w:history="1">
        <w:r>
          <w:rPr>
            <w:rStyle w:val="a4"/>
          </w:rPr>
          <w:t>ст. 110</w:t>
        </w:r>
      </w:hyperlink>
      <w:r>
        <w:t xml:space="preserve"> Уголовного кодекса Российской Федерации (УК РФ). </w:t>
      </w:r>
    </w:p>
    <w:p w:rsidR="0072571D" w:rsidRDefault="0072571D" w:rsidP="0072571D">
      <w:pPr>
        <w:pStyle w:val="a3"/>
      </w:pPr>
      <w:r>
        <w:t xml:space="preserve">Рассматриваемое деяние характеризуется исключительной безнравственностью, коварством, циничным отношением к достоинству и душевному состоянию другого человека. </w:t>
      </w:r>
    </w:p>
    <w:p w:rsidR="0072571D" w:rsidRDefault="0072571D" w:rsidP="0072571D">
      <w:pPr>
        <w:pStyle w:val="a3"/>
      </w:pPr>
      <w:r>
        <w:t xml:space="preserve">Объект рассматриваемого преступления - общественные отношения, обеспечивающие безопасность жизни человека. Потерпевшим от преступления может быть любой человек. В диспозиции названной статьи </w:t>
      </w:r>
      <w:hyperlink r:id="rId5" w:tgtFrame="_blank" w:tooltip="" w:history="1">
        <w:r>
          <w:rPr>
            <w:rStyle w:val="a4"/>
          </w:rPr>
          <w:t>УК РФ</w:t>
        </w:r>
      </w:hyperlink>
      <w:r>
        <w:t xml:space="preserve"> отсутствует указание на то, что потерпевший должен находиться в материальной или иной зависимости от виновного, как того требовал УК РСФСР. Тем самым круг потерпевших от данного преступления значительно расширен. </w:t>
      </w:r>
    </w:p>
    <w:p w:rsidR="0072571D" w:rsidRDefault="0072571D" w:rsidP="0072571D">
      <w:pPr>
        <w:pStyle w:val="a3"/>
      </w:pPr>
      <w:r>
        <w:t xml:space="preserve">Объективная сторона преступления выражается преимущественно в активных действиях по доведению лица до самоубийства или до покушения на самоубийство. Состав рассматриваемого преступления - материальный. Оконченным оно признается в тех случаях, если в результате действий виновного последовало самоубийство или покушение на него. </w:t>
      </w:r>
    </w:p>
    <w:p w:rsidR="0072571D" w:rsidRDefault="0072571D" w:rsidP="0072571D">
      <w:pPr>
        <w:pStyle w:val="a3"/>
      </w:pPr>
      <w:r>
        <w:t xml:space="preserve">Описывая объективную сторону данного преступления, законодатель указал и способы его совершения, к которым относятся: а) угрозы; б) жестокое обращение с потерпевшим; в) систематическое унижение его человеческого достоинства. </w:t>
      </w:r>
    </w:p>
    <w:p w:rsidR="0072571D" w:rsidRDefault="0072571D" w:rsidP="0072571D">
      <w:pPr>
        <w:pStyle w:val="a3"/>
      </w:pPr>
      <w:r>
        <w:t xml:space="preserve">Угрозы могут касаться различных сторон жизни потерпевшего (например, угрозы отказом в жилище, лишением материальной или иной существенной помощи, покровительства, физической расправой, разглашением позорящих сведений и проч.). Имеет значение не только содержание и форма угрозы, но и ее субъективное восприятие потерпевшим как представляющей реальную опасность для его существования, ставящую его в безвыходное положение. </w:t>
      </w:r>
    </w:p>
    <w:p w:rsidR="0072571D" w:rsidRDefault="0072571D" w:rsidP="0072571D">
      <w:pPr>
        <w:pStyle w:val="a3"/>
      </w:pPr>
      <w:r>
        <w:t xml:space="preserve">Жестокое обращение означает систематичность безжалостного, грубого отношения виновного к потерпевшему. По своему объему это довольно широкое оценочное понятие. </w:t>
      </w:r>
      <w:proofErr w:type="gramStart"/>
      <w:r>
        <w:t xml:space="preserve">Оно охватывает различные деяния (действия или бездействие), причиняющие потерпевшему физические и психические страдания (побои, истязания, издевательства, лишение пищи и воды, средств к существованию, медицинской помощи, ограничение свободы, принуждение к выполнению бессмысленной, изнурительной работы, изгнание из жилища, преследования и проч.). </w:t>
      </w:r>
      <w:proofErr w:type="gramEnd"/>
    </w:p>
    <w:p w:rsidR="0072571D" w:rsidRDefault="0072571D" w:rsidP="0072571D">
      <w:pPr>
        <w:pStyle w:val="a3"/>
      </w:pPr>
      <w:r>
        <w:t xml:space="preserve">Систематическое унижение человеческого достоинства выражается в неоднократных актах оскорбления, глумлении над потерпевшим, его постоянной травле, распространении о нем клеветнических сведений, несправедливой критике и т.п. </w:t>
      </w:r>
    </w:p>
    <w:p w:rsidR="0072571D" w:rsidRDefault="0072571D" w:rsidP="0072571D">
      <w:pPr>
        <w:pStyle w:val="a3"/>
      </w:pPr>
      <w:r>
        <w:t xml:space="preserve">Ответственность по </w:t>
      </w:r>
      <w:hyperlink r:id="rId6" w:tgtFrame="_blank" w:tooltip="" w:history="1">
        <w:r>
          <w:rPr>
            <w:rStyle w:val="a4"/>
          </w:rPr>
          <w:t>ст. 110 УК РФ</w:t>
        </w:r>
      </w:hyperlink>
      <w:r>
        <w:t xml:space="preserve"> возможна лишь при доведении лица до самоубийства путем совершения противоправных действий. Не признаются преступными правомерные действия, подтолкнувшие потерпевшего к самоубийству (например, в результате задержания по подозрению в совершении преступления). </w:t>
      </w:r>
    </w:p>
    <w:p w:rsidR="0072571D" w:rsidRDefault="0072571D" w:rsidP="0072571D">
      <w:pPr>
        <w:pStyle w:val="a3"/>
      </w:pPr>
      <w:r>
        <w:t xml:space="preserve">Обязательным признаком состава рассматриваемого преступления является наличие причинной связи между совершенным самоубийством или покушением на него и противоправными действиями виновного. Если потерпевший покончил жизнь </w:t>
      </w:r>
      <w:r>
        <w:lastRenderedPageBreak/>
        <w:t xml:space="preserve">самоубийством или покушался на него по иным причинам, уголовная ответственность исключается. </w:t>
      </w:r>
    </w:p>
    <w:p w:rsidR="0072571D" w:rsidRDefault="0072571D" w:rsidP="0072571D">
      <w:pPr>
        <w:pStyle w:val="a3"/>
      </w:pPr>
      <w:r>
        <w:t xml:space="preserve">Для квалификации действий виновного по </w:t>
      </w:r>
      <w:hyperlink r:id="rId7" w:tgtFrame="_blank" w:tooltip="" w:history="1">
        <w:r>
          <w:rPr>
            <w:rStyle w:val="a4"/>
          </w:rPr>
          <w:t>ст. 110 УК РФ</w:t>
        </w:r>
      </w:hyperlink>
      <w:r>
        <w:t xml:space="preserve"> необходимо установить, что потерпевший действительно желал совершить акт самоубийства, а не инсценировать его. </w:t>
      </w:r>
    </w:p>
    <w:p w:rsidR="0072571D" w:rsidRDefault="0072571D" w:rsidP="0072571D">
      <w:pPr>
        <w:pStyle w:val="a3"/>
      </w:pPr>
      <w:r>
        <w:t xml:space="preserve">Отсутствие в диспозиции </w:t>
      </w:r>
      <w:hyperlink r:id="rId8" w:tgtFrame="_blank" w:tooltip="" w:history="1">
        <w:r>
          <w:rPr>
            <w:rStyle w:val="a4"/>
          </w:rPr>
          <w:t>ст. 110 УК РФ</w:t>
        </w:r>
      </w:hyperlink>
      <w:r>
        <w:t xml:space="preserve"> указания на форму вины означает, что вина в данном случае может быть как умышленной, так и неосторожной. Умысел при этом может быть прямым или косвенным. Виновный осознает, что указанным в законе способом толкает потерпевшего к самоубийству, предвидит возможность или неизбежность лишения им себя жизни и желает (прямой умысел) или сознательно допускает наступление этих последствий либо </w:t>
      </w:r>
      <w:proofErr w:type="gramStart"/>
      <w:r>
        <w:t>относится</w:t>
      </w:r>
      <w:proofErr w:type="gramEnd"/>
      <w:r>
        <w:t xml:space="preserve"> к ним безразлично (косвенный умысел). Возможны здесь и два вида неосторожной вины - легкомыслие и небрежность. </w:t>
      </w:r>
    </w:p>
    <w:p w:rsidR="0072571D" w:rsidRDefault="0072571D" w:rsidP="0072571D">
      <w:pPr>
        <w:pStyle w:val="a3"/>
      </w:pPr>
      <w:r>
        <w:t xml:space="preserve">Субъектом преступления является любое лицо, достигшее 16-летнего возраста. </w:t>
      </w:r>
    </w:p>
    <w:p w:rsidR="00EC3B2E" w:rsidRDefault="00EC3B2E"/>
    <w:sectPr w:rsidR="00EC3B2E" w:rsidSect="00EC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1D"/>
    <w:rsid w:val="0072571D"/>
    <w:rsid w:val="00EC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ocspb.ru/ugolovnyj-kodeks/statja-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110" TargetMode="External"/><Relationship Id="rId5" Type="http://schemas.openxmlformats.org/officeDocument/2006/relationships/hyperlink" Target="http://docs.procspb.ru/content/base/27688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procspb.ru/ugolovnyj-kodeks/statja-1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Company>Прокуратура ЛО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2015-12-21T09:18:00Z</dcterms:created>
  <dcterms:modified xsi:type="dcterms:W3CDTF">2015-12-21T09:19:00Z</dcterms:modified>
</cp:coreProperties>
</file>