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24 ноября 2022 года приняты решения о перечислении в субъекты Российской Федерации 15,24 млрд. рублей</w:t>
      </w:r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24 ноября 2022 года в рамках реализации федерального проекта «Обеспечение устойчивого сокращения непригодного для проживания жилищного фонда» приняты следующие решения о перечислении средств на переселение граждан из аварийного жилищного фонда, признанного таковым до 1 января 2017 года:</w:t>
      </w:r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Verdana" w:hAnsi="Verdana" w:cs="Calibri"/>
          <w:color w:val="000000"/>
          <w:sz w:val="20"/>
          <w:szCs w:val="20"/>
        </w:rPr>
        <w:t>- в соответствии с дополнительными заявками Республики Алтай, Республики Саха (Якутия), Приморского края, Архангельской, Калининградской, Новосибирской, Псковской, Смоленской и Тамбовской областей на получение финансовой поддержки, в том числе на компенсацию затрат, связанных с увеличением расходов, понесенных при реализации мероприятий этапов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2021-2022</w:t>
      </w:r>
      <w:r>
        <w:rPr>
          <w:rFonts w:ascii="Verdana" w:hAnsi="Verdana" w:cs="Calibri"/>
          <w:color w:val="000000"/>
          <w:sz w:val="20"/>
          <w:szCs w:val="20"/>
        </w:rPr>
        <w:t>,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2022-2023</w:t>
      </w:r>
      <w:r>
        <w:rPr>
          <w:rFonts w:ascii="Verdana" w:hAnsi="Verdana" w:cs="Calibri"/>
          <w:color w:val="000000"/>
          <w:sz w:val="20"/>
          <w:szCs w:val="20"/>
        </w:rPr>
        <w:t> и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2023-2024</w:t>
      </w:r>
      <w:r>
        <w:rPr>
          <w:rFonts w:ascii="Verdana" w:hAnsi="Verdana" w:cs="Calibri"/>
          <w:color w:val="000000"/>
          <w:sz w:val="20"/>
          <w:szCs w:val="20"/>
        </w:rPr>
        <w:t> годов программы переселения граждан из аварийного жилищного фонда, признанного таковым до 1 января 2017 года, правлением публично-правовой</w:t>
      </w:r>
      <w:proofErr w:type="gramEnd"/>
      <w:r>
        <w:rPr>
          <w:rFonts w:ascii="Verdana" w:hAnsi="Verdana" w:cs="Calibri"/>
          <w:color w:val="000000"/>
          <w:sz w:val="20"/>
          <w:szCs w:val="20"/>
        </w:rPr>
        <w:t xml:space="preserve"> компании «Фонд развития территорий» одобрено перечисление указанным субъектам РФ 14,42 млрд. рублей;</w:t>
      </w:r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Verdana" w:hAnsi="Verdana" w:cs="Calibri"/>
          <w:color w:val="000000"/>
          <w:sz w:val="20"/>
          <w:szCs w:val="20"/>
        </w:rPr>
        <w:t>– в соответствии с представленными Республикой Башкортостан, Республикой Бурятия, Республикой Крым, Республикой Марий Эл, Республикой Татарстан, Республикой Тыва, Алтайским краем, Красноярским краем, Пермским краем, Калужской, Ленинградской, Новгородской, Рязанской и Челябинской областями реестрами контрактов на приобретение квартир для переселения граждан из аварийного жилья, признанного таковым до 1 января 2017 года, Фондом ЖКХ одобрено перечисление 817,4 млн. рублей.</w:t>
      </w:r>
      <w:proofErr w:type="gramEnd"/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Verdana" w:hAnsi="Verdana" w:cs="Calibri"/>
          <w:color w:val="000000"/>
          <w:sz w:val="20"/>
          <w:szCs w:val="20"/>
        </w:rPr>
        <w:t>Таким образом, по состоянию на 24 ноября 2022 года, с учетом вышеуказанных решений, общая сумма средств, предусмотренных федеральным проектом «Обеспечение устойчивого сокращения непригодного для проживания жилищного фонда», входящего в национальный проект «Жилье и городская среда», направленных государственной корпорацией – Фондом содействия реформированию ЖКХ в регионы, составила 314,07 млрд. рублей, в том числе:</w:t>
      </w:r>
      <w:proofErr w:type="gramEnd"/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— в рамках этапа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2019-2020</w:t>
      </w:r>
      <w:r>
        <w:rPr>
          <w:rFonts w:ascii="Verdana" w:hAnsi="Verdana" w:cs="Calibri"/>
          <w:color w:val="000000"/>
          <w:sz w:val="20"/>
          <w:szCs w:val="20"/>
        </w:rPr>
        <w:t> годов программы переселения направлено 34,19 млрд. рублей;</w:t>
      </w:r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— в рамках этапа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2020-2021</w:t>
      </w:r>
      <w:r>
        <w:rPr>
          <w:rFonts w:ascii="Verdana" w:hAnsi="Verdana" w:cs="Calibri"/>
          <w:color w:val="000000"/>
          <w:sz w:val="20"/>
          <w:szCs w:val="20"/>
        </w:rPr>
        <w:t> годов программы переселения направлено 44,96 млрд. рублей;</w:t>
      </w:r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— в рамках этапа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2021-2022</w:t>
      </w:r>
      <w:r>
        <w:rPr>
          <w:rFonts w:ascii="Verdana" w:hAnsi="Verdana" w:cs="Calibri"/>
          <w:color w:val="000000"/>
          <w:sz w:val="20"/>
          <w:szCs w:val="20"/>
        </w:rPr>
        <w:t> годов программы переселения направлено 67,16 млрд. рублей;</w:t>
      </w:r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— в рамках этапа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2022-2023</w:t>
      </w:r>
      <w:r>
        <w:rPr>
          <w:rFonts w:ascii="Verdana" w:hAnsi="Verdana" w:cs="Calibri"/>
          <w:color w:val="000000"/>
          <w:sz w:val="20"/>
          <w:szCs w:val="20"/>
        </w:rPr>
        <w:t> годов программы переселения направлено 125,01 млрд. рублей;</w:t>
      </w:r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— в рамках этапа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2023-2024</w:t>
      </w:r>
      <w:r>
        <w:rPr>
          <w:rFonts w:ascii="Verdana" w:hAnsi="Verdana" w:cs="Calibri"/>
          <w:color w:val="000000"/>
          <w:sz w:val="20"/>
          <w:szCs w:val="20"/>
        </w:rPr>
        <w:t> годов программы переселения направлено 42,76 млрд. рублей.</w:t>
      </w:r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Сводная информация о динамике перечисления средств субъектам РФ по этапам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2019-2020</w:t>
      </w:r>
      <w:r>
        <w:rPr>
          <w:rFonts w:ascii="Verdana" w:hAnsi="Verdana" w:cs="Calibri"/>
          <w:color w:val="000000"/>
          <w:sz w:val="20"/>
          <w:szCs w:val="20"/>
        </w:rPr>
        <w:t>,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2020-2021</w:t>
      </w:r>
      <w:r>
        <w:rPr>
          <w:rFonts w:ascii="Verdana" w:hAnsi="Verdana" w:cs="Calibri"/>
          <w:color w:val="000000"/>
          <w:sz w:val="20"/>
          <w:szCs w:val="20"/>
        </w:rPr>
        <w:t>,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2021-2022</w:t>
      </w:r>
      <w:r>
        <w:rPr>
          <w:rFonts w:ascii="Verdana" w:hAnsi="Verdana" w:cs="Calibri"/>
          <w:color w:val="000000"/>
          <w:sz w:val="20"/>
          <w:szCs w:val="20"/>
        </w:rPr>
        <w:t>,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2022-2023</w:t>
      </w:r>
      <w:r>
        <w:rPr>
          <w:rFonts w:ascii="Verdana" w:hAnsi="Verdana" w:cs="Calibri"/>
          <w:color w:val="000000"/>
          <w:sz w:val="20"/>
          <w:szCs w:val="20"/>
        </w:rPr>
        <w:t> и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2023-2024</w:t>
      </w:r>
      <w:r>
        <w:rPr>
          <w:rFonts w:ascii="Verdana" w:hAnsi="Verdana" w:cs="Calibri"/>
          <w:color w:val="000000"/>
          <w:sz w:val="20"/>
          <w:szCs w:val="20"/>
        </w:rPr>
        <w:t xml:space="preserve"> годах наглядно представлена в </w:t>
      </w:r>
      <w:proofErr w:type="spellStart"/>
      <w:r>
        <w:rPr>
          <w:rFonts w:ascii="Verdana" w:hAnsi="Verdana" w:cs="Calibri"/>
          <w:color w:val="000000"/>
          <w:sz w:val="20"/>
          <w:szCs w:val="20"/>
        </w:rPr>
        <w:t>инфографике</w:t>
      </w:r>
      <w:proofErr w:type="spellEnd"/>
      <w:r>
        <w:rPr>
          <w:rFonts w:ascii="Verdana" w:hAnsi="Verdana" w:cs="Calibri"/>
          <w:color w:val="000000"/>
          <w:sz w:val="20"/>
          <w:szCs w:val="20"/>
        </w:rPr>
        <w:t>, разработанной Фондом ЖКХ.</w:t>
      </w:r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Департамент внешних коммуникаций и связей с общественностью ГК ФСР ЖКХ</w:t>
      </w:r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Verdana" w:hAnsi="Verdana" w:cs="Calibri"/>
            <w:sz w:val="20"/>
            <w:szCs w:val="20"/>
          </w:rPr>
          <w:t>https://fondgkh.ru/news/24-noyabrya-2022-goda-prinyaty-resheniya-o-perechislenii-v-subekty-rossiyskoy-federatsii-15-24-mlrd-rubley/</w:t>
        </w:r>
      </w:hyperlink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 </w:t>
      </w:r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С уважением,</w:t>
      </w:r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Департамент внешних коммуникаций и связей с общественностью</w:t>
      </w:r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lastRenderedPageBreak/>
        <w:t>государственной корпорации – Фонда содействия реформированию жилищно-коммунального хозяйства</w:t>
      </w:r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Verdana" w:hAnsi="Verdana" w:cs="Calibri"/>
          <w:color w:val="000000"/>
          <w:sz w:val="20"/>
          <w:szCs w:val="20"/>
        </w:rPr>
        <w:t>тел. </w:t>
      </w:r>
      <w:r>
        <w:rPr>
          <w:rStyle w:val="wmi-callto"/>
          <w:rFonts w:ascii="Verdana" w:hAnsi="Verdana" w:cs="Calibri"/>
          <w:color w:val="000000"/>
          <w:sz w:val="20"/>
          <w:szCs w:val="20"/>
        </w:rPr>
        <w:t>8-495-651-65-42</w:t>
      </w:r>
    </w:p>
    <w:p w:rsidR="00262A35" w:rsidRDefault="00262A35" w:rsidP="00262A35">
      <w:pPr>
        <w:pStyle w:val="228bf8a64b8551e1msonormal"/>
        <w:shd w:val="clear" w:color="auto" w:fill="FFFFFF"/>
        <w:spacing w:before="0" w:beforeAutospacing="0" w:after="200" w:afterAutospacing="0" w:line="211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8E6E93" w:rsidRDefault="008E6E93"/>
    <w:sectPr w:rsidR="008E6E93" w:rsidSect="008E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62A35"/>
    <w:rsid w:val="00262A35"/>
    <w:rsid w:val="008E6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262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62A35"/>
  </w:style>
  <w:style w:type="character" w:styleId="a3">
    <w:name w:val="Hyperlink"/>
    <w:basedOn w:val="a0"/>
    <w:uiPriority w:val="99"/>
    <w:semiHidden/>
    <w:unhideWhenUsed/>
    <w:rsid w:val="00262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ndgkh.ru/news/24-noyabrya-2022-goda-prinyaty-resheniya-o-perechislenii-v-subekty-rossiyskoy-federatsii-15-24-mlrd-rub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Company>Microsoft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2022-11-25T11:37:00Z</dcterms:created>
  <dcterms:modified xsi:type="dcterms:W3CDTF">2022-11-25T11:37:00Z</dcterms:modified>
</cp:coreProperties>
</file>