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17 ноября 2022 года приняты решения о перечислении в субъекты Российской Федерации 2,94 млрд. рублей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17 ноября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- в соответствии с дополнительными заявками Республики Карелия и Кировской области на получение финансовой поддержки на компенсацию затрат, связанных с увеличением расходов, понесенных при реализации мероприятий этапов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граждан из аварийного жилищного фонда, признанного таковым до 1 января 2017 года, правлением публично-правовой компании «Фонд развития территорий» одобрено перечисление указанным субъектам РФ 2,31 млрд. рублей;</w:t>
      </w:r>
      <w:proofErr w:type="gramEnd"/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- в соответствии с дополнительными заявками Ханты-Мансийского автономного округа –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Югры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на предоставление финансовой поддержки на реализацию программы переселения правлением публично-правовой компании «Фонд развития территорий» одобрено перечисление в качестве аванса указанному субъекту РФ 486,71 млн. рублей;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– в соответствии с представленными Республикой Крым, Архангельской, Вологодской и Саратовской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142,44 млн. рублей.</w:t>
      </w:r>
      <w:proofErr w:type="gramEnd"/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Таким образом, по состоянию на 17 ноября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292,15 млрд. рублей, в том числе:</w:t>
      </w:r>
      <w:proofErr w:type="gramEnd"/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2019-2020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34,19 млрд. рублей;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2020-2021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44,97 млрд. рублей;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66,51 млрд. рублей;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117,74 млрд. рублей;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28,73 млрд. рублей.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2019-2020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2020-2021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 xml:space="preserve"> годах наглядно представлена в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инфографике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разработанной Фондом ЖКХ.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  <w:lang w:val="en-US"/>
          </w:rPr>
          <w:t>https</w:t>
        </w:r>
        <w:r>
          <w:rPr>
            <w:rStyle w:val="a3"/>
            <w:rFonts w:ascii="Verdana" w:hAnsi="Verdana" w:cs="Calibri"/>
            <w:sz w:val="20"/>
            <w:szCs w:val="20"/>
          </w:rPr>
          <w:t>://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fondgkh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ru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/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news</w:t>
        </w:r>
        <w:r>
          <w:rPr>
            <w:rStyle w:val="a3"/>
            <w:rFonts w:ascii="Verdana" w:hAnsi="Verdana" w:cs="Calibri"/>
            <w:sz w:val="20"/>
            <w:szCs w:val="20"/>
          </w:rPr>
          <w:t>/17-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noyabrya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-2022-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goda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prinyaty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resheniya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o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perechislenii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r>
          <w:rPr>
            <w:rStyle w:val="a3"/>
            <w:rFonts w:ascii="Verdana" w:hAnsi="Verdana" w:cs="Calibri"/>
            <w:sz w:val="20"/>
            <w:szCs w:val="20"/>
            <w:lang w:val="en-US"/>
          </w:rPr>
          <w:t>v</w:t>
        </w:r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subekty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rossiyskoy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federatsii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-2-94-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mlrd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-</w:t>
        </w:r>
        <w:proofErr w:type="spellStart"/>
        <w:r>
          <w:rPr>
            <w:rStyle w:val="a3"/>
            <w:rFonts w:ascii="Verdana" w:hAnsi="Verdana" w:cs="Calibri"/>
            <w:sz w:val="20"/>
            <w:szCs w:val="20"/>
            <w:lang w:val="en-US"/>
          </w:rPr>
          <w:t>rubley</w:t>
        </w:r>
        <w:proofErr w:type="spellEnd"/>
        <w:r>
          <w:rPr>
            <w:rStyle w:val="a3"/>
            <w:rFonts w:ascii="Verdana" w:hAnsi="Verdana" w:cs="Calibri"/>
            <w:sz w:val="20"/>
            <w:szCs w:val="20"/>
          </w:rPr>
          <w:t>/</w:t>
        </w:r>
      </w:hyperlink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lastRenderedPageBreak/>
        <w:t>государственной корпорации – Фонда содействия реформированию жилищно-коммунального хозяйства</w:t>
      </w:r>
    </w:p>
    <w:p w:rsidR="004B49EA" w:rsidRDefault="004B49EA" w:rsidP="004B49E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B49EA"/>
    <w:rsid w:val="004B49EA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B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B49EA"/>
  </w:style>
  <w:style w:type="character" w:styleId="a3">
    <w:name w:val="Hyperlink"/>
    <w:basedOn w:val="a0"/>
    <w:uiPriority w:val="99"/>
    <w:semiHidden/>
    <w:unhideWhenUsed/>
    <w:rsid w:val="004B4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17-noyabrya-2022-goda-prinyaty-resheniya-o-perechislenii-v-subekty-rossiyskoy-federatsii-2-94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2022-11-25T11:35:00Z</dcterms:created>
  <dcterms:modified xsi:type="dcterms:W3CDTF">2022-11-25T11:35:00Z</dcterms:modified>
</cp:coreProperties>
</file>